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989E" w14:textId="32B2BDDA" w:rsidR="00B839A5" w:rsidRDefault="004E7E80" w:rsidP="00783163">
      <w:pPr>
        <w:jc w:val="center"/>
        <w:rPr>
          <w:rFonts w:cstheme="minorHAnsi"/>
          <w:b/>
          <w:sz w:val="28"/>
          <w:szCs w:val="28"/>
          <w:u w:val="single"/>
        </w:rPr>
      </w:pPr>
      <w:r w:rsidRPr="00153025">
        <w:rPr>
          <w:rFonts w:cstheme="minorHAnsi"/>
          <w:b/>
          <w:sz w:val="28"/>
          <w:szCs w:val="28"/>
          <w:u w:val="single"/>
        </w:rPr>
        <w:t>Zgłoszenie</w:t>
      </w:r>
    </w:p>
    <w:p w14:paraId="017FF49A" w14:textId="77777777" w:rsidR="00783163" w:rsidRPr="00783163" w:rsidRDefault="00783163" w:rsidP="0078316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6CE263AA" w14:textId="09491144" w:rsidR="008346DD" w:rsidRDefault="00753DCF" w:rsidP="000F31F9">
      <w:pPr>
        <w:spacing w:line="480" w:lineRule="auto"/>
        <w:jc w:val="both"/>
      </w:pPr>
      <w:r>
        <w:t>Ja niż</w:t>
      </w:r>
      <w:r w:rsidR="008C5601">
        <w:t>ej podpisany __________________</w:t>
      </w:r>
      <w:r w:rsidR="003F27F8">
        <w:t>____________</w:t>
      </w:r>
      <w:r w:rsidR="008C5601">
        <w:t xml:space="preserve">______ mający status delegata </w:t>
      </w:r>
      <w:r w:rsidR="00553E81">
        <w:t xml:space="preserve">na </w:t>
      </w:r>
      <w:r w:rsidR="00AB0B42">
        <w:t>Zwyczajne</w:t>
      </w:r>
      <w:r w:rsidR="00420105">
        <w:t xml:space="preserve"> LXVI </w:t>
      </w:r>
      <w:r w:rsidR="00AB0B42">
        <w:t xml:space="preserve"> </w:t>
      </w:r>
      <w:r w:rsidR="00553E81">
        <w:t>Walne Zebranie Delegatów Związku Artystów Scen Polskich ZASP –</w:t>
      </w:r>
      <w:r w:rsidR="008346DD">
        <w:t xml:space="preserve"> Stowarzyszenie </w:t>
      </w:r>
      <w:r w:rsidR="00B16443">
        <w:t xml:space="preserve">niniejszym </w:t>
      </w:r>
      <w:r w:rsidR="008346DD">
        <w:t>zgłaszam Pana/Panią _______________________________________, nie będącym/ą członkiem ZASP, jako mojego doradcę w rozumi</w:t>
      </w:r>
      <w:r w:rsidR="008D2846">
        <w:t xml:space="preserve">eniu </w:t>
      </w:r>
      <w:r w:rsidR="005101E8">
        <w:t xml:space="preserve">§ </w:t>
      </w:r>
      <w:r w:rsidR="008D2846">
        <w:t>24 ust.</w:t>
      </w:r>
      <w:r w:rsidR="005101E8">
        <w:t xml:space="preserve"> </w:t>
      </w:r>
      <w:r w:rsidR="008D2846">
        <w:t>5</w:t>
      </w:r>
      <w:r w:rsidR="008346DD">
        <w:t xml:space="preserve">  Statutu ZASP w ramach </w:t>
      </w:r>
      <w:r w:rsidR="00AB0B42">
        <w:t>Zwyczajnego</w:t>
      </w:r>
      <w:r w:rsidR="00420105">
        <w:t xml:space="preserve"> LXVI</w:t>
      </w:r>
      <w:r w:rsidR="00AB0B42">
        <w:t xml:space="preserve"> </w:t>
      </w:r>
      <w:r w:rsidR="008C5601">
        <w:t>Walne</w:t>
      </w:r>
      <w:r w:rsidR="008346DD">
        <w:t>go</w:t>
      </w:r>
      <w:r w:rsidR="00CE638E">
        <w:t xml:space="preserve"> Zebrania</w:t>
      </w:r>
      <w:r>
        <w:t xml:space="preserve"> Delegatów</w:t>
      </w:r>
      <w:r w:rsidR="008C5601">
        <w:t xml:space="preserve"> Związku Artystów Scen Polskich ZASP – Stowarzyszenie</w:t>
      </w:r>
      <w:r>
        <w:t xml:space="preserve"> </w:t>
      </w:r>
      <w:r w:rsidR="008C5601">
        <w:t xml:space="preserve">z siedzibą w Warszawie </w:t>
      </w:r>
      <w:r>
        <w:t xml:space="preserve">w dniu </w:t>
      </w:r>
      <w:r w:rsidR="00420105">
        <w:t>16 – 17 czerwca 2025 roku.</w:t>
      </w:r>
    </w:p>
    <w:p w14:paraId="4416613A" w14:textId="18BF9E78" w:rsidR="008346DD" w:rsidRDefault="008346DD" w:rsidP="000F31F9">
      <w:pPr>
        <w:spacing w:line="480" w:lineRule="auto"/>
        <w:jc w:val="both"/>
      </w:pPr>
      <w:r>
        <w:t>Jednocześnie oświadczam, iż poinformowałem/</w:t>
      </w:r>
      <w:proofErr w:type="spellStart"/>
      <w:r>
        <w:t>am</w:t>
      </w:r>
      <w:proofErr w:type="spellEnd"/>
      <w:r>
        <w:t xml:space="preserve"> </w:t>
      </w:r>
      <w:r w:rsidR="00564B13">
        <w:t xml:space="preserve">mojego doradcę o treści </w:t>
      </w:r>
      <w:r w:rsidR="00552A53">
        <w:t xml:space="preserve">§ </w:t>
      </w:r>
      <w:r w:rsidR="00564B13">
        <w:t>24 ust.</w:t>
      </w:r>
      <w:r w:rsidR="00552A53">
        <w:t xml:space="preserve"> </w:t>
      </w:r>
      <w:r w:rsidR="00564B13">
        <w:t>5 Statutu ZASP.</w:t>
      </w:r>
    </w:p>
    <w:p w14:paraId="0809105B" w14:textId="77777777" w:rsidR="00B839A5" w:rsidRDefault="00B839A5" w:rsidP="000F31F9">
      <w:pPr>
        <w:spacing w:line="480" w:lineRule="auto"/>
        <w:jc w:val="both"/>
      </w:pPr>
    </w:p>
    <w:p w14:paraId="15A03883" w14:textId="73E6838A" w:rsidR="0062401F" w:rsidRDefault="00753DCF" w:rsidP="0062401F">
      <w:pPr>
        <w:spacing w:line="240" w:lineRule="auto"/>
        <w:jc w:val="both"/>
      </w:pPr>
      <w:r>
        <w:t>_________</w:t>
      </w:r>
      <w:r w:rsidR="00EF6EB0">
        <w:t>____________</w:t>
      </w:r>
      <w:r>
        <w:t>__</w:t>
      </w:r>
      <w:r w:rsidR="008C5601">
        <w:t>_______</w:t>
      </w:r>
      <w:r w:rsidR="0062401F">
        <w:br/>
      </w:r>
      <w:r>
        <w:t>(</w:t>
      </w:r>
      <w:r w:rsidR="00EF6EB0">
        <w:t>miejscowość, data,</w:t>
      </w:r>
      <w:r w:rsidR="008C5601">
        <w:t xml:space="preserve"> czytelny </w:t>
      </w:r>
      <w:r w:rsidR="00251E53">
        <w:t>podpis</w:t>
      </w:r>
      <w:r w:rsidR="008C5601">
        <w:t>)</w:t>
      </w:r>
    </w:p>
    <w:p w14:paraId="61DDC5FD" w14:textId="77777777" w:rsidR="0062401F" w:rsidRPr="0062401F" w:rsidRDefault="0062401F" w:rsidP="0062401F">
      <w:pPr>
        <w:spacing w:line="240" w:lineRule="auto"/>
        <w:jc w:val="both"/>
        <w:rPr>
          <w:sz w:val="10"/>
          <w:szCs w:val="10"/>
        </w:rPr>
      </w:pPr>
    </w:p>
    <w:p w14:paraId="305D99B7" w14:textId="6EB50596" w:rsidR="00783163" w:rsidRPr="00783163" w:rsidRDefault="00783163" w:rsidP="00783163">
      <w:pPr>
        <w:spacing w:line="240" w:lineRule="auto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Klauzula informacyjna dotycząca przetwarzania danych osobowych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– zgłoszenie doradcy na Walne Zebranie Delegatów ZASP</w:t>
      </w:r>
    </w:p>
    <w:p w14:paraId="11DED122" w14:textId="036A4A04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Administrator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Administratorem danych osobowych jest Związek Artystów Scen Polskich ZASP – Stowarzyszenie z siedzibą w Warszawie (00-536), Al. Ujazdowskie 45.</w:t>
      </w:r>
    </w:p>
    <w:p w14:paraId="2C09BC0D" w14:textId="0175A73C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Inspektor ochrony danych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W sprawach dotyczących przetwarzania danych osobowych można kontaktować się z Inspektorem Ochrony Danych pod adresem e-mail: iod@zasp.pl.</w:t>
      </w:r>
    </w:p>
    <w:p w14:paraId="01929BAB" w14:textId="2BAD4564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Cele przetwarzania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osobowe są przetwarzane w celu: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identyfikacji doradcy zgłoszonego do udziału w Walnym Zebraniu Delegatów ZASP,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weryfikacji delegata zgłaszającego doradcę oraz zapewnienia prawidłowego przebiegu procedury zgłoszenia,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prowadzenia dokumentacji zebrania zgodnie z regulacjami statutowymi,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archiwizacji dokumentacji oraz zapewnienia rozliczalności,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ewentualnie – ustalania, dochodzenia lub obrony roszczeń.</w:t>
      </w:r>
    </w:p>
    <w:p w14:paraId="706AAE5C" w14:textId="63A74DF0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Podstawa prawna przetwarzania danych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osobowe są przetwarzane na podstawie art. 6 ust. 1 lit. f RODO – prawnie uzasadnionego interesu administratora, którym jest organizacja Walnego Zebrania oraz zapewnienie prawidłowego przebiegu zgłoszeń i udziału doradców.</w:t>
      </w:r>
    </w:p>
    <w:p w14:paraId="0EEFAC61" w14:textId="2F0B7694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Kategorie przetwarzanych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Zakres przetwarzanych danych obejmuje: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w przypadku doradcy: imię i nazwisko, ewentualnie dane kontaktowe (jeśli są podane),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w przypadku delegata zgłaszającego doradcę: imię i nazwisko, sekcja oraz podpis.</w:t>
      </w:r>
    </w:p>
    <w:p w14:paraId="1F067BDA" w14:textId="08BDC9B1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Odbiorcy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mogą być przekazywane: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członkom organów ZASP obsługującym Walne Zebranie,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członkom ZASP w zakresie przewidzianym statutem,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podmiotom świadczącym usługi techniczne, informatyczne, pocztowe i administracyjne (np. dostawcy oprogramowania, usług hostingowych, operatorzy pocztowi i kurierscy),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kancelariom prawnym w przypadku dochodzenia lub obrony roszczeń.</w:t>
      </w:r>
    </w:p>
    <w:p w14:paraId="7404BAC2" w14:textId="677BAFDF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Przekazywanie danych poza Europejski Obszar Gospodarczy (EOG)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mogą być przekazywane poza EOG w związku z korzystaniem z narzędzi informatycznych lub współpracą z zagranicznymi organizacjami. Przekazywanie danych odbywa się zgodnie z RODO: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na podstawie decyzji stwierdzającej odpowiedni stopień ochrony (art. 45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z zastosowaniem odpowiednich zabezpieczeń, np. standardowych klauzul umownych (art. 46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zgodnie z wiążącymi regułami korporacyjnymi (art. 47 RODO) lub w wyjątkowych sytuacjach – na podstawie art. 49 RODO.</w:t>
      </w:r>
    </w:p>
    <w:p w14:paraId="747DA520" w14:textId="7287D083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Okres przechowywania danych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osobowe będą przechowywane przez okres ważności upoważnienia doradcy do udziału w Walnym Zebraniu oraz przez okres wynikający z obowiązków archiwizacyjnych i rozliczalności (zgodnie z przepisami wewnętrznymi oraz prawnymi wymogami).</w:t>
      </w:r>
    </w:p>
    <w:p w14:paraId="68E97247" w14:textId="1430800C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Prawa osób, których dane dotyczą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Osoby, których dane dotyczą, mają prawo do: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dostępu do danych osobowych (art. 15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sprostowania danych (art. 16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usunięcia danych (art. 17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ograniczenia przetwarzania (art. 18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wniesienia sprzeciwu wobec przetwarzania danych (art. 21 RODO),</w:t>
      </w:r>
      <w:r w:rsidRPr="00783163">
        <w:rPr>
          <w:sz w:val="16"/>
          <w:szCs w:val="16"/>
        </w:rPr>
        <w:t xml:space="preserve"> </w:t>
      </w:r>
      <w:r w:rsidRPr="00783163">
        <w:rPr>
          <w:sz w:val="16"/>
          <w:szCs w:val="16"/>
        </w:rPr>
        <w:t>wniesienia skargi do Prezesa Urzędu Ochrony Danych Osobowych (ul. Stawki 2, 00-193 Warszawa).</w:t>
      </w:r>
    </w:p>
    <w:p w14:paraId="5ED1F5B8" w14:textId="6EAAE83E" w:rsidR="00783163" w:rsidRPr="00783163" w:rsidRDefault="00783163" w:rsidP="0078316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Obowiązek podania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Podanie danych osobowych jest warunkiem niezbędnym do zgłoszenia doradcy na Walne Zebranie Delegatów ZASP. Niepodanie danych uniemożliwi rozpatrzenie zgłoszenia.</w:t>
      </w:r>
    </w:p>
    <w:p w14:paraId="60906A09" w14:textId="03844641" w:rsidR="0062401F" w:rsidRPr="0062401F" w:rsidRDefault="00783163" w:rsidP="0062401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sz w:val="16"/>
          <w:szCs w:val="16"/>
        </w:rPr>
      </w:pPr>
      <w:r w:rsidRPr="00783163">
        <w:rPr>
          <w:b/>
          <w:bCs/>
          <w:sz w:val="16"/>
          <w:szCs w:val="16"/>
        </w:rPr>
        <w:t>Źródło danych osobowych</w:t>
      </w:r>
      <w:r w:rsidRPr="00783163">
        <w:rPr>
          <w:b/>
          <w:bCs/>
          <w:sz w:val="16"/>
          <w:szCs w:val="16"/>
        </w:rPr>
        <w:t xml:space="preserve">. </w:t>
      </w:r>
      <w:r w:rsidRPr="00783163">
        <w:rPr>
          <w:sz w:val="16"/>
          <w:szCs w:val="16"/>
        </w:rPr>
        <w:t>Dane osobowe doradcy pozyskiwane są od delegata zgłaszającego doradcę; dane delegata pozyskiwane są bezpośrednio od niego</w:t>
      </w:r>
      <w:r w:rsidR="0062401F">
        <w:rPr>
          <w:sz w:val="16"/>
          <w:szCs w:val="16"/>
        </w:rPr>
        <w:t>.</w:t>
      </w:r>
    </w:p>
    <w:sectPr w:rsidR="0062401F" w:rsidRPr="0062401F" w:rsidSect="0078316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21879"/>
    <w:multiLevelType w:val="multilevel"/>
    <w:tmpl w:val="FCA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D02DC"/>
    <w:multiLevelType w:val="multilevel"/>
    <w:tmpl w:val="A3F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C64E3"/>
    <w:multiLevelType w:val="multilevel"/>
    <w:tmpl w:val="54C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4676E"/>
    <w:multiLevelType w:val="multilevel"/>
    <w:tmpl w:val="4962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F7A7A"/>
    <w:multiLevelType w:val="hybridMultilevel"/>
    <w:tmpl w:val="C44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775B"/>
    <w:multiLevelType w:val="multilevel"/>
    <w:tmpl w:val="6E0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8533E"/>
    <w:multiLevelType w:val="hybridMultilevel"/>
    <w:tmpl w:val="37B475E0"/>
    <w:lvl w:ilvl="0" w:tplc="45EAB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161087">
    <w:abstractNumId w:val="4"/>
  </w:num>
  <w:num w:numId="2" w16cid:durableId="699084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154312">
    <w:abstractNumId w:val="2"/>
  </w:num>
  <w:num w:numId="4" w16cid:durableId="1258640161">
    <w:abstractNumId w:val="1"/>
  </w:num>
  <w:num w:numId="5" w16cid:durableId="641735232">
    <w:abstractNumId w:val="3"/>
  </w:num>
  <w:num w:numId="6" w16cid:durableId="1112480441">
    <w:abstractNumId w:val="0"/>
  </w:num>
  <w:num w:numId="7" w16cid:durableId="1012610195">
    <w:abstractNumId w:val="5"/>
  </w:num>
  <w:num w:numId="8" w16cid:durableId="2097943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CF"/>
    <w:rsid w:val="000F125A"/>
    <w:rsid w:val="000F31F9"/>
    <w:rsid w:val="00153025"/>
    <w:rsid w:val="001D08BC"/>
    <w:rsid w:val="00251E53"/>
    <w:rsid w:val="0029180F"/>
    <w:rsid w:val="00317C86"/>
    <w:rsid w:val="003942CA"/>
    <w:rsid w:val="003F27F8"/>
    <w:rsid w:val="00420105"/>
    <w:rsid w:val="00467D69"/>
    <w:rsid w:val="004E7E80"/>
    <w:rsid w:val="005101E8"/>
    <w:rsid w:val="00552A53"/>
    <w:rsid w:val="00553E81"/>
    <w:rsid w:val="00560AA9"/>
    <w:rsid w:val="00564B13"/>
    <w:rsid w:val="00600DBF"/>
    <w:rsid w:val="0062401F"/>
    <w:rsid w:val="006A197B"/>
    <w:rsid w:val="006C24CE"/>
    <w:rsid w:val="00710A15"/>
    <w:rsid w:val="00753DCF"/>
    <w:rsid w:val="00783163"/>
    <w:rsid w:val="00793ED5"/>
    <w:rsid w:val="007F245B"/>
    <w:rsid w:val="008346DD"/>
    <w:rsid w:val="008C5601"/>
    <w:rsid w:val="008D2846"/>
    <w:rsid w:val="008D3588"/>
    <w:rsid w:val="00924F72"/>
    <w:rsid w:val="00934785"/>
    <w:rsid w:val="009D7EA1"/>
    <w:rsid w:val="00AB0B42"/>
    <w:rsid w:val="00B16443"/>
    <w:rsid w:val="00B839A5"/>
    <w:rsid w:val="00CE638E"/>
    <w:rsid w:val="00D66D2B"/>
    <w:rsid w:val="00E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9A12"/>
  <w15:chartTrackingRefBased/>
  <w15:docId w15:val="{C55C1FE5-2B58-4429-914E-B8EEE9DE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45B"/>
    <w:pPr>
      <w:ind w:left="720"/>
      <w:contextualSpacing/>
    </w:pPr>
  </w:style>
  <w:style w:type="paragraph" w:styleId="Poprawka">
    <w:name w:val="Revision"/>
    <w:hidden/>
    <w:uiPriority w:val="99"/>
    <w:semiHidden/>
    <w:rsid w:val="005101E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E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prawny ZASP</dc:creator>
  <cp:keywords/>
  <dc:description/>
  <cp:lastModifiedBy>Maciej Strycharz I AllSafe sp. z o.o.</cp:lastModifiedBy>
  <cp:revision>20</cp:revision>
  <cp:lastPrinted>2021-11-24T09:51:00Z</cp:lastPrinted>
  <dcterms:created xsi:type="dcterms:W3CDTF">2021-11-12T10:07:00Z</dcterms:created>
  <dcterms:modified xsi:type="dcterms:W3CDTF">2025-05-10T12:44:00Z</dcterms:modified>
</cp:coreProperties>
</file>